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2F860">
      <w:pPr>
        <w:pStyle w:val="4"/>
        <w:numPr>
          <w:ilvl w:val="0"/>
          <w:numId w:val="0"/>
        </w:numPr>
        <w:spacing w:after="145" w:line="360" w:lineRule="auto"/>
        <w:ind w:leftChars="0" w:firstLine="3080" w:firstLineChars="700"/>
        <w:jc w:val="both"/>
        <w:rPr>
          <w:rFonts w:ascii="宋体" w:hAnsi="宋体"/>
          <w:bCs/>
          <w:sz w:val="44"/>
          <w:szCs w:val="44"/>
        </w:rPr>
      </w:pPr>
      <w:r>
        <w:rPr>
          <w:rFonts w:hint="eastAsia" w:ascii="宋体" w:hAnsi="宋体"/>
          <w:bCs/>
          <w:sz w:val="44"/>
          <w:szCs w:val="44"/>
        </w:rPr>
        <w:t>采购需求</w:t>
      </w:r>
    </w:p>
    <w:p w14:paraId="084A5EEA">
      <w:pPr>
        <w:spacing w:line="360" w:lineRule="auto"/>
        <w:ind w:firstLine="480"/>
        <w:rPr>
          <w:rFonts w:hint="eastAsia" w:ascii="宋体" w:hAnsi="宋体"/>
          <w:sz w:val="24"/>
          <w:szCs w:val="24"/>
        </w:rPr>
      </w:pPr>
      <w:r>
        <w:rPr>
          <w:rFonts w:hint="eastAsia" w:ascii="宋体" w:hAnsi="宋体"/>
          <w:sz w:val="24"/>
          <w:szCs w:val="24"/>
        </w:rPr>
        <w:t>项目属性：服务类项目。</w:t>
      </w:r>
    </w:p>
    <w:p w14:paraId="56BC49F2">
      <w:pPr>
        <w:spacing w:line="360" w:lineRule="auto"/>
        <w:ind w:firstLine="480"/>
        <w:rPr>
          <w:rFonts w:hint="eastAsia" w:ascii="宋体" w:hAnsi="宋体"/>
          <w:sz w:val="24"/>
          <w:szCs w:val="24"/>
        </w:rPr>
      </w:pPr>
      <w:r>
        <w:rPr>
          <w:rFonts w:hint="eastAsia" w:ascii="宋体" w:hAnsi="宋体"/>
          <w:sz w:val="24"/>
          <w:szCs w:val="24"/>
        </w:rPr>
        <w:t>本项目采购标的对应的中小企业划分标准所属行业：</w:t>
      </w:r>
      <w:r>
        <w:rPr>
          <w:rFonts w:hint="eastAsia" w:ascii="宋体" w:hAnsi="宋体"/>
          <w:sz w:val="24"/>
          <w:szCs w:val="24"/>
          <w:u w:val="single"/>
        </w:rPr>
        <w:t>其他未列明行业</w:t>
      </w:r>
    </w:p>
    <w:p w14:paraId="3B9117B9">
      <w:pPr>
        <w:spacing w:line="360" w:lineRule="auto"/>
        <w:ind w:firstLine="480"/>
        <w:rPr>
          <w:rFonts w:hint="eastAsia" w:ascii="宋体" w:hAnsi="宋体"/>
          <w:sz w:val="24"/>
          <w:szCs w:val="24"/>
        </w:rPr>
      </w:pPr>
      <w:r>
        <w:rPr>
          <w:rFonts w:hint="eastAsia" w:ascii="宋体" w:hAnsi="宋体"/>
          <w:sz w:val="24"/>
          <w:szCs w:val="24"/>
        </w:rPr>
        <w:t>本项目</w:t>
      </w:r>
      <w:r>
        <w:rPr>
          <w:rFonts w:hint="eastAsia" w:ascii="宋体" w:hAnsi="宋体"/>
          <w:sz w:val="24"/>
          <w:szCs w:val="24"/>
          <w:u w:val="single"/>
        </w:rPr>
        <w:t>不接受</w:t>
      </w:r>
      <w:r>
        <w:rPr>
          <w:rFonts w:hint="eastAsia" w:ascii="宋体" w:hAnsi="宋体"/>
          <w:sz w:val="24"/>
          <w:szCs w:val="24"/>
        </w:rPr>
        <w:t>进口产品。</w:t>
      </w:r>
    </w:p>
    <w:p w14:paraId="579B0344">
      <w:pPr>
        <w:pStyle w:val="5"/>
        <w:spacing w:line="400" w:lineRule="exact"/>
        <w:rPr>
          <w:rFonts w:hint="eastAsia" w:ascii="宋体" w:hAnsi="宋体" w:eastAsia="宋体"/>
          <w:b/>
          <w:sz w:val="28"/>
          <w:szCs w:val="28"/>
        </w:rPr>
      </w:pPr>
      <w:r>
        <w:rPr>
          <w:rFonts w:hint="eastAsia" w:ascii="宋体" w:hAnsi="宋体" w:eastAsia="宋体"/>
          <w:b/>
          <w:sz w:val="28"/>
          <w:szCs w:val="28"/>
        </w:rPr>
        <w:t>一、项目概况</w:t>
      </w:r>
    </w:p>
    <w:p w14:paraId="12C55164">
      <w:pPr>
        <w:pStyle w:val="5"/>
        <w:tabs>
          <w:tab w:val="left" w:pos="2918"/>
        </w:tabs>
        <w:spacing w:line="360" w:lineRule="auto"/>
        <w:ind w:firstLine="480"/>
        <w:rPr>
          <w:rFonts w:hint="eastAsia" w:ascii="宋体" w:hAnsi="宋体" w:eastAsia="宋体"/>
          <w:bCs/>
          <w:sz w:val="24"/>
          <w:szCs w:val="24"/>
        </w:rPr>
      </w:pPr>
      <w:r>
        <w:rPr>
          <w:rFonts w:hint="eastAsia" w:ascii="宋体" w:hAnsi="宋体" w:eastAsia="宋体"/>
          <w:bCs/>
          <w:sz w:val="24"/>
          <w:szCs w:val="24"/>
        </w:rPr>
        <w:t>1、项目简介</w:t>
      </w:r>
      <w:r>
        <w:rPr>
          <w:rFonts w:hint="eastAsia" w:ascii="宋体" w:hAnsi="宋体" w:eastAsia="宋体"/>
          <w:bCs/>
          <w:sz w:val="24"/>
          <w:szCs w:val="24"/>
        </w:rPr>
        <w:tab/>
      </w:r>
    </w:p>
    <w:p w14:paraId="3C3B82E1">
      <w:pPr>
        <w:pStyle w:val="5"/>
        <w:spacing w:line="360" w:lineRule="auto"/>
        <w:ind w:firstLine="480"/>
        <w:rPr>
          <w:rFonts w:hint="eastAsia" w:ascii="宋体" w:hAnsi="宋体" w:eastAsia="宋体"/>
          <w:bCs/>
          <w:sz w:val="24"/>
          <w:szCs w:val="24"/>
        </w:rPr>
      </w:pPr>
      <w:r>
        <w:rPr>
          <w:rFonts w:hint="eastAsia" w:ascii="宋体" w:hAnsi="宋体" w:eastAsia="宋体"/>
          <w:bCs/>
          <w:sz w:val="24"/>
          <w:szCs w:val="24"/>
        </w:rPr>
        <w:t>泗阳县公安局交通违法、事故车辆停车场租赁服务采购项目，主要采购需求内容为：</w:t>
      </w:r>
      <w:r>
        <w:rPr>
          <w:rFonts w:hint="eastAsia" w:ascii="宋体" w:hAnsi="宋体" w:eastAsia="宋体"/>
          <w:sz w:val="24"/>
          <w:szCs w:val="24"/>
        </w:rPr>
        <w:t>负责泗阳县境内，泗阳县公安局交通警察大队交通违法、事故车辆停放管理（含车辆拖曳、道路清障），支付事故车辆检测鉴定费用以及安全保卫等服务。</w:t>
      </w:r>
    </w:p>
    <w:p w14:paraId="6D9A901F">
      <w:pPr>
        <w:pStyle w:val="5"/>
        <w:numPr>
          <w:ilvl w:val="0"/>
          <w:numId w:val="1"/>
        </w:numPr>
        <w:spacing w:line="360" w:lineRule="auto"/>
        <w:rPr>
          <w:rFonts w:hint="eastAsia" w:ascii="宋体" w:hAnsi="宋体" w:eastAsia="宋体"/>
          <w:bCs/>
          <w:sz w:val="24"/>
          <w:szCs w:val="24"/>
        </w:rPr>
      </w:pPr>
      <w:r>
        <w:rPr>
          <w:rFonts w:hint="eastAsia" w:ascii="宋体" w:hAnsi="宋体" w:eastAsia="宋体"/>
          <w:bCs/>
          <w:sz w:val="24"/>
          <w:szCs w:val="24"/>
        </w:rPr>
        <w:t>合同履行期限：</w:t>
      </w:r>
      <w:r>
        <w:rPr>
          <w:rFonts w:hint="eastAsia" w:ascii="宋体" w:hAnsi="宋体" w:eastAsia="宋体" w:cs="宋体"/>
          <w:sz w:val="24"/>
          <w:szCs w:val="24"/>
        </w:rPr>
        <w:t>自合同签订之日起</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sz w:val="24"/>
          <w:szCs w:val="24"/>
        </w:rPr>
        <w:t>。</w:t>
      </w:r>
    </w:p>
    <w:p w14:paraId="26FF2AE5">
      <w:pPr>
        <w:pStyle w:val="5"/>
        <w:spacing w:line="360" w:lineRule="auto"/>
        <w:rPr>
          <w:rFonts w:hint="eastAsia" w:ascii="宋体" w:hAnsi="宋体" w:eastAsia="宋体"/>
          <w:b/>
          <w:sz w:val="28"/>
          <w:szCs w:val="28"/>
        </w:rPr>
      </w:pPr>
      <w:r>
        <w:rPr>
          <w:rFonts w:hint="eastAsia" w:ascii="宋体" w:hAnsi="宋体" w:eastAsia="宋体"/>
          <w:b/>
          <w:sz w:val="28"/>
          <w:szCs w:val="28"/>
        </w:rPr>
        <w:t>二、付款方式</w:t>
      </w:r>
    </w:p>
    <w:p w14:paraId="7F150BAE">
      <w:pPr>
        <w:pStyle w:val="5"/>
        <w:spacing w:line="360" w:lineRule="auto"/>
        <w:ind w:firstLine="480"/>
        <w:rPr>
          <w:rFonts w:hint="eastAsia" w:ascii="宋体" w:hAnsi="宋体" w:eastAsia="宋体"/>
          <w:bCs/>
          <w:sz w:val="24"/>
          <w:szCs w:val="24"/>
        </w:rPr>
      </w:pPr>
      <w:r>
        <w:rPr>
          <w:rFonts w:hint="eastAsia" w:ascii="宋体" w:hAnsi="宋体" w:eastAsia="宋体"/>
          <w:bCs/>
          <w:sz w:val="24"/>
          <w:szCs w:val="24"/>
        </w:rPr>
        <w:t>预付款：合同金额的10%，合同签订后按规定支付；</w:t>
      </w:r>
    </w:p>
    <w:p w14:paraId="13F0256D">
      <w:pPr>
        <w:pStyle w:val="5"/>
        <w:spacing w:line="360" w:lineRule="auto"/>
        <w:ind w:firstLine="480"/>
        <w:rPr>
          <w:rFonts w:hint="eastAsia" w:ascii="宋体" w:hAnsi="宋体" w:eastAsia="宋体"/>
          <w:bCs/>
          <w:sz w:val="24"/>
          <w:szCs w:val="24"/>
        </w:rPr>
      </w:pPr>
      <w:r>
        <w:rPr>
          <w:rFonts w:hint="eastAsia" w:ascii="宋体" w:hAnsi="宋体" w:eastAsia="宋体"/>
          <w:bCs/>
          <w:sz w:val="24"/>
          <w:szCs w:val="24"/>
        </w:rPr>
        <w:t>进度款：经验收考核合格后剩余款项按每半年支付一次。采购人自收到供应商发票后10个工作日内进行拨付服务费。</w:t>
      </w:r>
    </w:p>
    <w:p w14:paraId="7F98479E">
      <w:pPr>
        <w:pStyle w:val="5"/>
        <w:spacing w:line="360" w:lineRule="auto"/>
        <w:ind w:firstLine="482"/>
        <w:rPr>
          <w:rFonts w:hint="eastAsia" w:ascii="宋体" w:hAnsi="宋体" w:eastAsia="宋体"/>
          <w:b/>
          <w:bCs/>
          <w:sz w:val="24"/>
          <w:szCs w:val="24"/>
        </w:rPr>
      </w:pPr>
      <w:r>
        <w:rPr>
          <w:rFonts w:hint="eastAsia" w:ascii="宋体" w:hAnsi="宋体" w:eastAsia="宋体"/>
          <w:b/>
          <w:bCs/>
          <w:sz w:val="24"/>
          <w:szCs w:val="24"/>
        </w:rPr>
        <w:t>（注：在签订合同时，供应商明确表示无需预付款或者主动要求降低预付款比例的额度，采购人可不适用前述预付款规定。）</w:t>
      </w:r>
    </w:p>
    <w:p w14:paraId="3678ADFF">
      <w:pPr>
        <w:spacing w:line="360" w:lineRule="auto"/>
        <w:rPr>
          <w:rFonts w:hint="eastAsia" w:ascii="宋体" w:hAnsi="宋体"/>
          <w:b/>
          <w:sz w:val="28"/>
          <w:szCs w:val="28"/>
        </w:rPr>
      </w:pPr>
      <w:r>
        <w:rPr>
          <w:rFonts w:hint="eastAsia" w:ascii="宋体" w:hAnsi="宋体"/>
          <w:b/>
          <w:sz w:val="28"/>
          <w:szCs w:val="28"/>
        </w:rPr>
        <w:t>三、服务内容服务内容及要求</w:t>
      </w:r>
    </w:p>
    <w:p w14:paraId="0EFFAA1B">
      <w:pPr>
        <w:pStyle w:val="6"/>
        <w:spacing w:line="360" w:lineRule="auto"/>
        <w:ind w:firstLine="480"/>
        <w:rPr>
          <w:rFonts w:hint="eastAsia" w:ascii="宋体" w:hAnsi="宋体" w:eastAsia="宋体"/>
        </w:rPr>
      </w:pPr>
      <w:r>
        <w:rPr>
          <w:rFonts w:hint="eastAsia" w:ascii="宋体" w:hAnsi="宋体" w:eastAsia="宋体"/>
        </w:rPr>
        <w:t>1、中华人民共和国境内注册的,能够提供本项目服务的供应商。</w:t>
      </w:r>
    </w:p>
    <w:p w14:paraId="1DF90BD3">
      <w:pPr>
        <w:pStyle w:val="6"/>
        <w:spacing w:line="360" w:lineRule="auto"/>
        <w:ind w:firstLine="480"/>
        <w:rPr>
          <w:rFonts w:hint="eastAsia" w:ascii="宋体" w:hAnsi="宋体" w:eastAsia="宋体"/>
        </w:rPr>
      </w:pPr>
      <w:r>
        <w:rPr>
          <w:rFonts w:hint="eastAsia" w:ascii="宋体" w:hAnsi="宋体" w:eastAsia="宋体"/>
        </w:rPr>
        <w:t>2、在泗阳县城东至上海路、西至泗水大道、北至泗水大道、南至大运河以外6公里以内范围内有不少于40亩（26666.67平方米）的专属停车场地（自建或租赁均可，自建应提供自建证明，租赁的应提供租赁证明,如中标</w:t>
      </w:r>
      <w:r>
        <w:rPr>
          <w:rFonts w:hint="eastAsia" w:ascii="宋体" w:hAnsi="宋体" w:eastAsia="宋体"/>
          <w:color w:val="auto"/>
        </w:rPr>
        <w:t>，合同期内要满足停车需求），</w:t>
      </w:r>
      <w:r>
        <w:rPr>
          <w:rFonts w:hint="eastAsia" w:ascii="宋体" w:hAnsi="宋体" w:eastAsia="宋体"/>
          <w:color w:val="auto"/>
          <w:lang w:eastAsia="zh-CN"/>
        </w:rPr>
        <w:t>停车场地应保持空旷，满足停车要求，不得有非必要的建筑物（</w:t>
      </w:r>
      <w:r>
        <w:rPr>
          <w:rFonts w:hint="eastAsia" w:ascii="宋体" w:hAnsi="宋体" w:eastAsia="宋体"/>
          <w:color w:val="auto"/>
          <w:lang w:val="en-US" w:eastAsia="zh-CN"/>
        </w:rPr>
        <w:t>除</w:t>
      </w:r>
      <w:r>
        <w:rPr>
          <w:rFonts w:hint="eastAsia" w:ascii="宋体" w:hAnsi="宋体" w:eastAsia="宋体"/>
          <w:color w:val="auto"/>
          <w:lang w:eastAsia="zh-CN"/>
        </w:rPr>
        <w:t>门卫室、工作人员办公场所及休息场所等）。</w:t>
      </w:r>
      <w:r>
        <w:rPr>
          <w:rFonts w:hint="eastAsia" w:ascii="宋体" w:hAnsi="宋体" w:eastAsia="宋体"/>
          <w:color w:val="auto"/>
        </w:rPr>
        <w:t>若租赁则租赁该场</w:t>
      </w:r>
      <w:r>
        <w:rPr>
          <w:rFonts w:hint="eastAsia" w:ascii="宋体" w:hAnsi="宋体" w:eastAsia="宋体"/>
        </w:rPr>
        <w:t xml:space="preserve">地使用权不得少于该项目服务期。通往停车场的道路必须保证各种车辆往返顺利通行，路基路面标准不得低于二级公路的相关标准，停车场场地须硬化，保证停放重型车辆。 </w:t>
      </w:r>
    </w:p>
    <w:p w14:paraId="488C2F84">
      <w:pPr>
        <w:pStyle w:val="6"/>
        <w:spacing w:line="360" w:lineRule="auto"/>
        <w:ind w:firstLine="480"/>
        <w:rPr>
          <w:rFonts w:hint="eastAsia" w:ascii="宋体" w:hAnsi="宋体" w:eastAsia="宋体"/>
        </w:rPr>
      </w:pPr>
      <w:r>
        <w:rPr>
          <w:rFonts w:hint="eastAsia" w:ascii="宋体" w:hAnsi="宋体" w:eastAsia="宋体"/>
        </w:rPr>
        <w:t>3、投标人停车场车辆保管人员不少于2人；清障人员不少于6人；固定的公司管理人员2人以上、完善的公司管理制度和停车场管理系统，值班用房，以及监控、消防设施等与停车管理相关的附属设施。</w:t>
      </w:r>
    </w:p>
    <w:p w14:paraId="1E4B908D">
      <w:pPr>
        <w:pStyle w:val="6"/>
        <w:spacing w:line="360" w:lineRule="auto"/>
        <w:ind w:firstLine="480"/>
        <w:rPr>
          <w:rFonts w:hint="eastAsia" w:ascii="宋体" w:hAnsi="宋体" w:eastAsia="宋体"/>
        </w:rPr>
      </w:pPr>
      <w:r>
        <w:rPr>
          <w:rFonts w:hint="eastAsia" w:ascii="宋体" w:hAnsi="宋体" w:eastAsia="宋体"/>
        </w:rPr>
        <w:t>4、清障车、救援车随车安全装备等能够满足日常交通事故现场清障服务需要（车辆所有人须为投标人所有或租赁）。</w:t>
      </w:r>
    </w:p>
    <w:p w14:paraId="028C73D3">
      <w:pPr>
        <w:pStyle w:val="6"/>
        <w:spacing w:line="360" w:lineRule="auto"/>
        <w:ind w:firstLine="480"/>
        <w:rPr>
          <w:rFonts w:hint="eastAsia" w:ascii="宋体" w:hAnsi="宋体" w:eastAsia="宋体"/>
        </w:rPr>
      </w:pPr>
      <w:r>
        <w:rPr>
          <w:rFonts w:hint="eastAsia" w:ascii="宋体" w:hAnsi="宋体" w:eastAsia="宋体"/>
        </w:rPr>
        <w:t>4.1、能够满足日常交通事故现场清障服务需要，有不少于2台小型清障车，2台中型清障车，1台大型清障车提供服务，1台不低于25吨的吊车，所有车辆证件、保险齐全有效，并保持车容整洁，车况良好（车辆所有人须为投标人所有或租赁）。</w:t>
      </w:r>
    </w:p>
    <w:p w14:paraId="2486AC52">
      <w:pPr>
        <w:pStyle w:val="6"/>
        <w:spacing w:line="360" w:lineRule="auto"/>
        <w:ind w:firstLine="480"/>
        <w:rPr>
          <w:rFonts w:hint="eastAsia" w:ascii="宋体" w:hAnsi="宋体" w:eastAsia="宋体"/>
        </w:rPr>
      </w:pPr>
      <w:r>
        <w:rPr>
          <w:rFonts w:hint="eastAsia" w:ascii="宋体" w:hAnsi="宋体" w:eastAsia="宋体"/>
        </w:rPr>
        <w:t>4.2、随车安全装备：4块交通安全标志牌、40个反光锥形筒、6个闪光警示灯、4个便携式探照灯、4根闪光警示棒、若干灭火器、反光背心、手电筒、铁锹、扫把、牵引绳等简易救援工具。</w:t>
      </w:r>
    </w:p>
    <w:p w14:paraId="0DA8BE80">
      <w:pPr>
        <w:pStyle w:val="6"/>
        <w:spacing w:line="360" w:lineRule="auto"/>
        <w:ind w:firstLine="480"/>
        <w:rPr>
          <w:rFonts w:hint="eastAsia" w:ascii="宋体" w:hAnsi="宋体" w:eastAsia="宋体"/>
        </w:rPr>
      </w:pPr>
      <w:r>
        <w:rPr>
          <w:rFonts w:hint="eastAsia" w:ascii="宋体" w:hAnsi="宋体" w:eastAsia="宋体"/>
        </w:rPr>
        <w:t>4.3、及时进行车辆拖曳、道路清障等工作。接到指令后，应安排人员快速赶到现场，确保白天5分钟内出动，夜间10分钟内出动，不得无故拖延、推诿。到达事发现场后，要按照规定办理交接手续，及时将车辆拖至停车场保管。拖车、道路清障中造成车辆、物件损失的，承担责任，与招标人无关。</w:t>
      </w:r>
    </w:p>
    <w:p w14:paraId="2F3F60F1">
      <w:pPr>
        <w:pStyle w:val="6"/>
        <w:spacing w:line="360" w:lineRule="auto"/>
        <w:ind w:firstLine="480"/>
        <w:rPr>
          <w:rFonts w:hint="eastAsia" w:ascii="宋体" w:hAnsi="宋体" w:eastAsia="宋体"/>
        </w:rPr>
      </w:pPr>
      <w:r>
        <w:rPr>
          <w:rFonts w:hint="eastAsia" w:ascii="宋体" w:hAnsi="宋体" w:eastAsia="宋体"/>
        </w:rPr>
        <w:t>5、停车场地基础设施要求:（1）停车场地面应当经过混凝土、沥青或者砂石硬化处理，保持坚实、平整，并有防潮、防震、防盗、防火、防破坏设施，能够保证车辆、货物不受损坏、丢失。（2）停车场要有全覆盖的照明、消防技防设备，并投保不低于</w:t>
      </w:r>
      <w:r>
        <w:rPr>
          <w:rFonts w:hint="eastAsia" w:ascii="宋体" w:hAnsi="宋体" w:eastAsia="宋体"/>
          <w:lang w:val="en-US" w:eastAsia="zh-CN"/>
        </w:rPr>
        <w:t>100</w:t>
      </w:r>
      <w:r>
        <w:rPr>
          <w:rFonts w:hint="eastAsia" w:ascii="宋体" w:hAnsi="宋体" w:eastAsia="宋体"/>
        </w:rPr>
        <w:t>万元人民币火灾理赔保险。（3）要有全覆盖整个停车场的视频监控平台（存储3个月以上），并可供监管机关远程查询。</w:t>
      </w:r>
    </w:p>
    <w:p w14:paraId="69458F6F">
      <w:pPr>
        <w:pStyle w:val="6"/>
        <w:spacing w:line="360" w:lineRule="auto"/>
        <w:ind w:firstLine="480"/>
        <w:rPr>
          <w:rFonts w:hint="eastAsia" w:ascii="宋体" w:hAnsi="宋体" w:eastAsia="宋体"/>
        </w:rPr>
      </w:pPr>
      <w:r>
        <w:rPr>
          <w:rFonts w:hint="eastAsia" w:ascii="宋体" w:hAnsi="宋体" w:eastAsia="宋体"/>
        </w:rPr>
        <w:t>6、停车场规章制度健全，车辆停放有序、管理规范，严格车辆出入登记，配备值班、安保人员。造成车辆、附属财产丢失、损坏、燃烧，以及人员伤害等一切损失均由投标人自行承担，与招标人无关。因工作需要，在条件允许的情况下，投标人可以按照分片设置停车场。</w:t>
      </w:r>
    </w:p>
    <w:p w14:paraId="48AD8E0C">
      <w:pPr>
        <w:pStyle w:val="6"/>
        <w:spacing w:line="360" w:lineRule="auto"/>
        <w:ind w:firstLine="480"/>
        <w:rPr>
          <w:rFonts w:hint="eastAsia" w:ascii="宋体" w:hAnsi="宋体" w:eastAsia="宋体"/>
        </w:rPr>
      </w:pPr>
      <w:r>
        <w:rPr>
          <w:rFonts w:hint="eastAsia" w:ascii="宋体" w:hAnsi="宋体" w:eastAsia="宋体"/>
        </w:rPr>
        <w:t>7、投标人内部管理规范，包括对参与救援员工安全教育管理，提供必要的安全防护措施，与清障施救服务人员签订劳动合同、办理人身意外伤害保险。投标人员工在从事车辆拖曳、停放管理、道路清障工作中发生的一切人身伤亡事故、财产损失及其它损失，均由投标人负责承担，与招标人无关。</w:t>
      </w:r>
    </w:p>
    <w:p w14:paraId="019EEFA3">
      <w:pPr>
        <w:pStyle w:val="6"/>
        <w:spacing w:line="360" w:lineRule="auto"/>
        <w:ind w:firstLine="480"/>
        <w:rPr>
          <w:rFonts w:hint="eastAsia" w:ascii="宋体" w:hAnsi="宋体" w:eastAsia="宋体"/>
        </w:rPr>
      </w:pPr>
      <w:r>
        <w:rPr>
          <w:rFonts w:hint="eastAsia" w:ascii="宋体" w:hAnsi="宋体" w:eastAsia="宋体"/>
        </w:rPr>
        <w:t>8、投标人中标后，如开展援救服务或应当事人要求对车辆进行救援，（未接到交通事故报警的除外）。服务单位应当将各项规章制度公开上墙。</w:t>
      </w:r>
    </w:p>
    <w:p w14:paraId="31A09AB0">
      <w:pPr>
        <w:pStyle w:val="6"/>
        <w:spacing w:line="360" w:lineRule="auto"/>
        <w:ind w:firstLine="480"/>
        <w:rPr>
          <w:rFonts w:hint="eastAsia" w:ascii="宋体" w:hAnsi="宋体" w:eastAsia="宋体"/>
        </w:rPr>
      </w:pPr>
      <w:r>
        <w:rPr>
          <w:rFonts w:hint="eastAsia" w:ascii="宋体" w:hAnsi="宋体" w:eastAsia="宋体"/>
        </w:rPr>
        <w:t>9、投标人应向被救援人开展告知，明确收费标准，不得借停车管理、车辆拖曳、道路清障之便，谋取不正当利益。严格遵守国家法律法规，认真执行有关停车管理的各项法律法规和规范性文件，合法经营，诚实守信，自觉维护广大车主的合法利益，树立良好形象。</w:t>
      </w:r>
    </w:p>
    <w:p w14:paraId="325960D6">
      <w:pPr>
        <w:pStyle w:val="6"/>
        <w:spacing w:line="360" w:lineRule="auto"/>
        <w:ind w:firstLine="480"/>
        <w:rPr>
          <w:rFonts w:hint="eastAsia" w:ascii="宋体" w:hAnsi="宋体" w:eastAsia="宋体"/>
        </w:rPr>
      </w:pPr>
      <w:r>
        <w:rPr>
          <w:rFonts w:hint="eastAsia" w:ascii="宋体" w:hAnsi="宋体" w:eastAsia="宋体"/>
        </w:rPr>
        <w:t>10、投标人在合同期内因土地征迁、规划调整或其它原因需要变更车辆停放地点时，应当提前3个月向招标人报告，征求招标人同意后，及时、妥善做好停车场地迁移工作，迁移过程中所需要的一切费用由投标人自行承担。</w:t>
      </w:r>
    </w:p>
    <w:p w14:paraId="5D7ED251">
      <w:pPr>
        <w:pStyle w:val="6"/>
        <w:spacing w:line="360" w:lineRule="auto"/>
        <w:ind w:firstLine="422"/>
        <w:rPr>
          <w:rFonts w:hint="eastAsia" w:ascii="宋体" w:hAnsi="宋体" w:eastAsia="宋体"/>
          <w:b/>
          <w:sz w:val="28"/>
          <w:szCs w:val="28"/>
        </w:rPr>
      </w:pPr>
      <w:r>
        <w:rPr>
          <w:rFonts w:hint="eastAsia" w:ascii="宋体" w:hAnsi="宋体" w:eastAsia="宋体"/>
          <w:b/>
          <w:sz w:val="28"/>
          <w:szCs w:val="28"/>
        </w:rPr>
        <w:t>四、验收</w:t>
      </w:r>
    </w:p>
    <w:p w14:paraId="4241587C">
      <w:pPr>
        <w:pStyle w:val="6"/>
        <w:spacing w:line="360" w:lineRule="auto"/>
        <w:ind w:firstLine="480"/>
        <w:rPr>
          <w:rFonts w:hint="eastAsia" w:ascii="宋体" w:hAnsi="宋体" w:eastAsia="宋体"/>
        </w:rPr>
      </w:pPr>
      <w:r>
        <w:rPr>
          <w:rFonts w:hint="eastAsia" w:ascii="宋体" w:hAnsi="宋体" w:eastAsia="宋体"/>
        </w:rPr>
        <w:t>采购人成立验收小组，依据招标文件采购需求及投标文件承诺响应等进行验收，必要时应聘请专业人员，并出具验收报告。</w:t>
      </w:r>
    </w:p>
    <w:p w14:paraId="5E49E3A2">
      <w:pPr>
        <w:pStyle w:val="6"/>
        <w:spacing w:line="360" w:lineRule="auto"/>
        <w:ind w:firstLine="422"/>
        <w:rPr>
          <w:rFonts w:hint="eastAsia" w:ascii="宋体" w:hAnsi="宋体" w:eastAsia="宋体"/>
          <w:b/>
          <w:sz w:val="28"/>
          <w:szCs w:val="28"/>
        </w:rPr>
      </w:pPr>
      <w:r>
        <w:rPr>
          <w:rFonts w:hint="eastAsia" w:ascii="宋体" w:hAnsi="宋体" w:eastAsia="宋体"/>
          <w:b/>
          <w:sz w:val="28"/>
          <w:szCs w:val="28"/>
        </w:rPr>
        <w:t>五、项目方案</w:t>
      </w:r>
    </w:p>
    <w:p w14:paraId="30641684">
      <w:pPr>
        <w:pStyle w:val="6"/>
        <w:spacing w:line="360" w:lineRule="auto"/>
        <w:ind w:firstLine="480"/>
        <w:rPr>
          <w:rFonts w:hint="eastAsia" w:ascii="宋体" w:hAnsi="宋体" w:eastAsia="宋体"/>
        </w:rPr>
      </w:pPr>
      <w:r>
        <w:rPr>
          <w:rFonts w:hint="eastAsia" w:ascii="宋体" w:hAnsi="宋体" w:eastAsia="宋体"/>
        </w:rPr>
        <w:t>1、拖车救援方案</w:t>
      </w:r>
    </w:p>
    <w:p w14:paraId="7A727CCD">
      <w:pPr>
        <w:pStyle w:val="6"/>
        <w:spacing w:line="360" w:lineRule="auto"/>
        <w:ind w:firstLine="480"/>
        <w:rPr>
          <w:rFonts w:hint="eastAsia" w:ascii="宋体" w:hAnsi="宋体" w:eastAsia="宋体"/>
        </w:rPr>
      </w:pPr>
      <w:r>
        <w:rPr>
          <w:rFonts w:hint="eastAsia" w:ascii="宋体" w:hAnsi="宋体" w:eastAsia="宋体"/>
        </w:rPr>
        <w:t>供应商根据招标文件要求及本项目特点对车辆施救方案、接到指令后能及时提供的应急救援物资、装备的管理与维护等保障措施方案、救援过程中遇到突发情况的应对保障措施进行完整、详细的描述。</w:t>
      </w:r>
    </w:p>
    <w:p w14:paraId="6DAED81F">
      <w:pPr>
        <w:pStyle w:val="6"/>
        <w:spacing w:line="360" w:lineRule="auto"/>
        <w:ind w:firstLine="480"/>
        <w:rPr>
          <w:rFonts w:hint="eastAsia" w:ascii="宋体" w:hAnsi="宋体" w:eastAsia="宋体"/>
        </w:rPr>
      </w:pPr>
      <w:r>
        <w:rPr>
          <w:rFonts w:hint="eastAsia" w:ascii="宋体" w:hAnsi="宋体" w:eastAsia="宋体"/>
        </w:rPr>
        <w:t>2、服务流程</w:t>
      </w:r>
    </w:p>
    <w:p w14:paraId="1AD1E6B5">
      <w:pPr>
        <w:pStyle w:val="6"/>
        <w:spacing w:line="360" w:lineRule="auto"/>
        <w:ind w:firstLine="480"/>
        <w:rPr>
          <w:rFonts w:hint="eastAsia" w:ascii="宋体" w:hAnsi="宋体" w:eastAsia="宋体"/>
        </w:rPr>
      </w:pPr>
      <w:r>
        <w:rPr>
          <w:rFonts w:hint="eastAsia" w:ascii="宋体" w:hAnsi="宋体" w:eastAsia="宋体"/>
        </w:rPr>
        <w:t>供应商根据招标文件要求及本项目特点对服务流程进行完整、详细具体的分析、描述。</w:t>
      </w:r>
    </w:p>
    <w:p w14:paraId="3054949D">
      <w:pPr>
        <w:pStyle w:val="6"/>
        <w:numPr>
          <w:ilvl w:val="0"/>
          <w:numId w:val="1"/>
        </w:numPr>
        <w:spacing w:line="360" w:lineRule="auto"/>
        <w:rPr>
          <w:rFonts w:hint="eastAsia" w:ascii="宋体" w:hAnsi="宋体" w:eastAsia="宋体"/>
        </w:rPr>
      </w:pPr>
      <w:r>
        <w:rPr>
          <w:rFonts w:hint="eastAsia" w:ascii="宋体" w:hAnsi="宋体" w:eastAsia="宋体"/>
        </w:rPr>
        <w:t>管理制度</w:t>
      </w:r>
    </w:p>
    <w:p w14:paraId="01EB22FB">
      <w:pPr>
        <w:pStyle w:val="6"/>
        <w:spacing w:line="360" w:lineRule="auto"/>
        <w:ind w:firstLine="480"/>
        <w:rPr>
          <w:rFonts w:hint="eastAsia" w:ascii="宋体" w:hAnsi="宋体" w:eastAsia="宋体"/>
        </w:rPr>
      </w:pPr>
      <w:r>
        <w:rPr>
          <w:rFonts w:hint="eastAsia" w:ascii="宋体" w:hAnsi="宋体" w:eastAsia="宋体"/>
        </w:rPr>
        <w:t>供应商根据招标文件要求及本项目特点对工作例会制度、应急职责履行情况检查制度；重大隐患排查与治理制度、重大危险源检测监控制度、预防性安全检查制度、应急宣传教育制度、应急培训制度、应急预案管理制度、应急演练和评估制度、应急救援队伍管理制度、应急投入保障制度、应急物资装备管理制度、应急资料档案管理制度、应急救援责任追究和奖惩制度、其他管理制度进行完整、详细，具体的描述。</w:t>
      </w:r>
    </w:p>
    <w:p w14:paraId="18123CA5">
      <w:pPr>
        <w:pStyle w:val="6"/>
        <w:spacing w:line="360" w:lineRule="auto"/>
        <w:ind w:firstLine="480"/>
        <w:rPr>
          <w:rFonts w:hint="eastAsia" w:ascii="宋体" w:hAnsi="宋体" w:eastAsia="宋体"/>
        </w:rPr>
      </w:pPr>
      <w:r>
        <w:rPr>
          <w:rFonts w:hint="eastAsia" w:ascii="宋体" w:hAnsi="宋体" w:eastAsia="宋体"/>
        </w:rPr>
        <w:t>4、土地硬化和绿化方案</w:t>
      </w:r>
    </w:p>
    <w:p w14:paraId="56E1DAAC">
      <w:pPr>
        <w:pStyle w:val="6"/>
        <w:spacing w:line="360" w:lineRule="auto"/>
        <w:ind w:firstLine="480"/>
        <w:rPr>
          <w:rFonts w:hint="eastAsia" w:ascii="宋体" w:hAnsi="宋体" w:eastAsia="宋体"/>
        </w:rPr>
      </w:pPr>
      <w:r>
        <w:rPr>
          <w:rFonts w:hint="eastAsia" w:ascii="宋体" w:hAnsi="宋体" w:eastAsia="宋体"/>
        </w:rPr>
        <w:t>供应商根据招标文件要求及本项目特点对土地硬化和绿化方案进行详细的描述。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54CD5"/>
    <w:multiLevelType w:val="multilevel"/>
    <w:tmpl w:val="1B454CD5"/>
    <w:lvl w:ilvl="0" w:tentative="0">
      <w:start w:val="2"/>
      <w:numFmt w:val="decimal"/>
      <w:lvlText w:val="%1、"/>
      <w:lvlJc w:val="left"/>
      <w:pPr>
        <w:ind w:left="840" w:hanging="360"/>
      </w:pPr>
      <w:rPr>
        <w:rFonts w:hint="default" w:ascii="Times New Roman" w:hAnsi="Times New Roman" w:cs="Times New Roman"/>
      </w:rPr>
    </w:lvl>
    <w:lvl w:ilvl="1" w:tentative="0">
      <w:start w:val="1"/>
      <w:numFmt w:val="lowerLetter"/>
      <w:lvlText w:val="%2)"/>
      <w:lvlJc w:val="left"/>
      <w:pPr>
        <w:ind w:left="1320" w:hanging="420"/>
      </w:pPr>
      <w:rPr>
        <w:rFonts w:hint="default" w:ascii="Times New Roman" w:hAnsi="Times New Roman" w:cs="Times New Roman"/>
      </w:rPr>
    </w:lvl>
    <w:lvl w:ilvl="2" w:tentative="0">
      <w:start w:val="1"/>
      <w:numFmt w:val="lowerRoman"/>
      <w:lvlText w:val="%3."/>
      <w:lvlJc w:val="right"/>
      <w:pPr>
        <w:ind w:left="1740" w:hanging="420"/>
      </w:pPr>
      <w:rPr>
        <w:rFonts w:hint="default" w:ascii="Times New Roman" w:hAnsi="Times New Roman" w:cs="Times New Roman"/>
      </w:rPr>
    </w:lvl>
    <w:lvl w:ilvl="3" w:tentative="0">
      <w:start w:val="1"/>
      <w:numFmt w:val="decimal"/>
      <w:lvlText w:val="%4."/>
      <w:lvlJc w:val="left"/>
      <w:pPr>
        <w:ind w:left="2160" w:hanging="420"/>
      </w:pPr>
      <w:rPr>
        <w:rFonts w:hint="default" w:ascii="Times New Roman" w:hAnsi="Times New Roman" w:cs="Times New Roman"/>
      </w:rPr>
    </w:lvl>
    <w:lvl w:ilvl="4" w:tentative="0">
      <w:start w:val="1"/>
      <w:numFmt w:val="lowerLetter"/>
      <w:lvlText w:val="%5)"/>
      <w:lvlJc w:val="left"/>
      <w:pPr>
        <w:ind w:left="2580" w:hanging="420"/>
      </w:pPr>
      <w:rPr>
        <w:rFonts w:hint="default" w:ascii="Times New Roman" w:hAnsi="Times New Roman" w:cs="Times New Roman"/>
      </w:rPr>
    </w:lvl>
    <w:lvl w:ilvl="5" w:tentative="0">
      <w:start w:val="1"/>
      <w:numFmt w:val="lowerRoman"/>
      <w:lvlText w:val="%6."/>
      <w:lvlJc w:val="right"/>
      <w:pPr>
        <w:ind w:left="3000" w:hanging="420"/>
      </w:pPr>
      <w:rPr>
        <w:rFonts w:hint="default" w:ascii="Times New Roman" w:hAnsi="Times New Roman" w:cs="Times New Roman"/>
      </w:rPr>
    </w:lvl>
    <w:lvl w:ilvl="6" w:tentative="0">
      <w:start w:val="1"/>
      <w:numFmt w:val="decimal"/>
      <w:lvlText w:val="%7."/>
      <w:lvlJc w:val="left"/>
      <w:pPr>
        <w:ind w:left="3420" w:hanging="420"/>
      </w:pPr>
      <w:rPr>
        <w:rFonts w:hint="default" w:ascii="Times New Roman" w:hAnsi="Times New Roman" w:cs="Times New Roman"/>
      </w:rPr>
    </w:lvl>
    <w:lvl w:ilvl="7" w:tentative="0">
      <w:start w:val="1"/>
      <w:numFmt w:val="lowerLetter"/>
      <w:lvlText w:val="%8)"/>
      <w:lvlJc w:val="left"/>
      <w:pPr>
        <w:ind w:left="3840" w:hanging="420"/>
      </w:pPr>
      <w:rPr>
        <w:rFonts w:hint="default" w:ascii="Times New Roman" w:hAnsi="Times New Roman" w:cs="Times New Roman"/>
      </w:rPr>
    </w:lvl>
    <w:lvl w:ilvl="8" w:tentative="0">
      <w:start w:val="1"/>
      <w:numFmt w:val="lowerRoman"/>
      <w:lvlText w:val="%9."/>
      <w:lvlJc w:val="right"/>
      <w:pPr>
        <w:ind w:left="4260" w:hanging="42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E7"/>
    <w:rsid w:val="0057787F"/>
    <w:rsid w:val="00C943E7"/>
    <w:rsid w:val="515A5F0A"/>
    <w:rsid w:val="53933379"/>
    <w:rsid w:val="555700E7"/>
    <w:rsid w:val="56D9689C"/>
    <w:rsid w:val="68007FF7"/>
    <w:rsid w:val="6F0E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标题 11"/>
    <w:basedOn w:val="1"/>
    <w:next w:val="1"/>
    <w:qFormat/>
    <w:uiPriority w:val="0"/>
    <w:pPr>
      <w:keepNext/>
      <w:jc w:val="center"/>
      <w:outlineLvl w:val="0"/>
    </w:pPr>
    <w:rPr>
      <w:rFonts w:ascii="楷体_GB2312"/>
      <w:sz w:val="28"/>
      <w:szCs w:val="28"/>
    </w:rPr>
  </w:style>
  <w:style w:type="paragraph" w:customStyle="1" w:styleId="5">
    <w:name w:val="Normal_19"/>
    <w:basedOn w:val="1"/>
    <w:qFormat/>
    <w:uiPriority w:val="0"/>
    <w:rPr>
      <w:rFonts w:ascii="Calibri" w:hAnsi="Calibri" w:eastAsia="Times New Roman"/>
    </w:rPr>
  </w:style>
  <w:style w:type="paragraph" w:customStyle="1" w:styleId="6">
    <w:name w:val="正文1_0"/>
    <w:basedOn w:val="1"/>
    <w:qFormat/>
    <w:uiPriority w:val="0"/>
    <w:rPr>
      <w:rFonts w:ascii="Calibri" w:hAnsi="Calibri"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2208</Words>
  <Characters>2231</Characters>
  <Lines>15</Lines>
  <Paragraphs>4</Paragraphs>
  <TotalTime>0</TotalTime>
  <ScaleCrop>false</ScaleCrop>
  <LinksUpToDate>false</LinksUpToDate>
  <CharactersWithSpaces>2233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2025-05-26T08:39:00Z</dcterms:created>
  <dc:creator>xb21cn</dc:creator>
  <cp:lastModifiedBy>乔伶俐</cp:lastModifiedBy>
  <dcterms:modified xsi:type="dcterms:W3CDTF">2025-05-28T06:56:03Z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eyJoZGlkIjoiNTAyZjI4Y2U5Njg0NzJjOTZhZTQ2MzU1MzUxNDRmMzkiLCJ1c2VySWQiOiI4ODI3NjQzOTAifQ==</vt:lpwstr>
  </property>
  <property fmtid="{D5CDD505-2E9C-101B-9397-08002B2CF9AE}" pid="3" name="KSOProductBuildVer">
    <vt:lpwstr>2052-12.1.0.21171</vt:lpwstr>
  </property>
  <property fmtid="{D5CDD505-2E9C-101B-9397-08002B2CF9AE}" pid="4" name="ICV">
    <vt:lpwstr>E27172370351415A917B040EFC496826_12</vt:lpwstr>
  </property>
</Properties>
</file>